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81A" w:rsidRDefault="00384A90">
      <w:hyperlink r:id="rId4" w:anchor="m_405616" w:history="1">
        <w:r>
          <w:rPr>
            <w:rStyle w:val="Hypertextovprepojenie"/>
          </w:rPr>
          <w:t>https://www.zmos.sk/ppa-do-konca-roka-2021-budeme-v-oblasti-mas-fungovat-v-standardnom-rezime--oznam/mid/405616/.html#m_405616</w:t>
        </w:r>
      </w:hyperlink>
      <w:bookmarkStart w:id="0" w:name="_GoBack"/>
      <w:bookmarkEnd w:id="0"/>
    </w:p>
    <w:sectPr w:rsidR="00AB78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A90"/>
    <w:rsid w:val="00384A90"/>
    <w:rsid w:val="00AB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0EFAF4-32BA-4DB8-A8FA-BEBD6CB64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semiHidden/>
    <w:unhideWhenUsed/>
    <w:rsid w:val="00384A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zmos.sk/ppa-do-konca-roka-2021-budeme-v-oblasti-mas-fungovat-v-standardnom-rezime--oznam/mid/405616/.html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1</cp:revision>
  <dcterms:created xsi:type="dcterms:W3CDTF">2021-09-06T18:30:00Z</dcterms:created>
  <dcterms:modified xsi:type="dcterms:W3CDTF">2021-09-06T18:31:00Z</dcterms:modified>
</cp:coreProperties>
</file>